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2C8B2873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1331D8">
              <w:rPr>
                <w:rFonts w:cs="Arial"/>
                <w:noProof/>
                <w:sz w:val="20"/>
              </w:rPr>
              <w:t>FwRes Augustdorf          (Stand Formular 22.05.2025)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33EF6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1331D8">
              <w:rPr>
                <w:rFonts w:cs="Arial"/>
                <w:sz w:val="20"/>
              </w:rPr>
              <w:t>Geschäftsstelle Augustdorf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0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7029AD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7029AD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7029AD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7029A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7029A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7029AD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7029A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7029A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7029A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7029AD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7029AD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7029AD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515F" w14:textId="77777777" w:rsidR="00DE6773" w:rsidRDefault="00DE6773" w:rsidP="00084695">
      <w:pPr>
        <w:spacing w:line="240" w:lineRule="auto"/>
      </w:pPr>
      <w:r>
        <w:separator/>
      </w:r>
    </w:p>
  </w:endnote>
  <w:endnote w:type="continuationSeparator" w:id="0">
    <w:p w14:paraId="4FC10264" w14:textId="77777777" w:rsidR="00DE6773" w:rsidRDefault="00DE6773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47E7" w14:textId="77777777" w:rsidR="00DE6773" w:rsidRDefault="00DE6773" w:rsidP="00084695">
      <w:pPr>
        <w:spacing w:line="240" w:lineRule="auto"/>
      </w:pPr>
      <w:r>
        <w:separator/>
      </w:r>
    </w:p>
  </w:footnote>
  <w:footnote w:type="continuationSeparator" w:id="0">
    <w:p w14:paraId="7EA0503C" w14:textId="77777777" w:rsidR="00DE6773" w:rsidRDefault="00DE6773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9" w:name="Regelungstyp"/>
          <w:bookmarkStart w:id="10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9"/>
    <w:bookmarkEnd w:id="10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4274F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331D8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54EDB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B39B6"/>
    <w:rsid w:val="00AD3442"/>
    <w:rsid w:val="00AE7059"/>
    <w:rsid w:val="00AF572E"/>
    <w:rsid w:val="00B11024"/>
    <w:rsid w:val="00B5027D"/>
    <w:rsid w:val="00B815B1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E6773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Props1.xml><?xml version="1.0" encoding="utf-8"?>
<ds:datastoreItem xmlns:ds="http://schemas.openxmlformats.org/officeDocument/2006/customXml" ds:itemID="{3F8D53FC-C032-42EB-BBB3-5516D45C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44200-18F5-4E66-9032-E84C9206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2137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Michl, Michael</cp:lastModifiedBy>
  <cp:revision>2</cp:revision>
  <cp:lastPrinted>2024-11-04T12:12:00Z</cp:lastPrinted>
  <dcterms:created xsi:type="dcterms:W3CDTF">2025-05-28T07:14:00Z</dcterms:created>
  <dcterms:modified xsi:type="dcterms:W3CDTF">2025-05-28T07:14:00Z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